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1306"/>
      </w:tblGrid>
      <w:tr w:rsidR="00B737D6" w:rsidRPr="00D36988" w:rsidTr="008239F5">
        <w:tc>
          <w:tcPr>
            <w:tcW w:w="0" w:type="auto"/>
            <w:shd w:val="clear" w:color="auto" w:fill="F2F2F2"/>
          </w:tcPr>
          <w:p w:rsidR="00B737D6" w:rsidRPr="00D36988" w:rsidRDefault="00B737D6" w:rsidP="008239F5">
            <w:pPr>
              <w:spacing w:after="60"/>
              <w:jc w:val="both"/>
              <w:rPr>
                <w:b/>
                <w:sz w:val="22"/>
                <w:szCs w:val="22"/>
                <w:lang w:val="ru-RU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Стандард 2: Сврха студијског програма</w:t>
            </w:r>
          </w:p>
          <w:p w:rsidR="00B737D6" w:rsidRPr="00D36988" w:rsidRDefault="00B737D6" w:rsidP="008239F5">
            <w:pPr>
              <w:spacing w:after="60"/>
              <w:jc w:val="both"/>
              <w:rPr>
                <w:sz w:val="22"/>
                <w:szCs w:val="22"/>
                <w:highlight w:val="yellow"/>
                <w:lang w:val="sr-Cyrl-CS"/>
              </w:rPr>
            </w:pPr>
            <w:r w:rsidRPr="00D36988">
              <w:rPr>
                <w:sz w:val="22"/>
                <w:szCs w:val="22"/>
                <w:lang w:val="sr-Cyrl-CS"/>
              </w:rPr>
              <w:t>Студијски програм докторских студија има јасно дефинисану и објављену сврху и улогу у образовном систему.</w:t>
            </w:r>
          </w:p>
        </w:tc>
      </w:tr>
      <w:tr w:rsidR="00B737D6" w:rsidRPr="00D36988" w:rsidTr="00F93266">
        <w:tc>
          <w:tcPr>
            <w:tcW w:w="0" w:type="auto"/>
            <w:tcBorders>
              <w:bottom w:val="single" w:sz="12" w:space="0" w:color="auto"/>
            </w:tcBorders>
          </w:tcPr>
          <w:p w:rsidR="00B737D6" w:rsidRPr="00D36988" w:rsidRDefault="00B737D6" w:rsidP="008239F5">
            <w:pP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 w:rsidRPr="00D36988">
              <w:rPr>
                <w:b/>
                <w:sz w:val="22"/>
                <w:szCs w:val="22"/>
                <w:lang w:val="sr-Cyrl-CS"/>
              </w:rPr>
              <w:t>Опис (највише 300 речи):</w:t>
            </w:r>
          </w:p>
          <w:p w:rsidR="0079626E" w:rsidRPr="000D6295" w:rsidRDefault="0079626E" w:rsidP="00A563FD">
            <w:pPr>
              <w:ind w:firstLine="459"/>
              <w:jc w:val="both"/>
            </w:pPr>
            <w:r w:rsidRPr="000D6295">
              <w:rPr>
                <w:lang w:val="sr-Cyrl-CS"/>
              </w:rPr>
              <w:t xml:space="preserve">Студијски програм Докторских </w:t>
            </w:r>
            <w:r w:rsidR="00355C90" w:rsidRPr="000D6295">
              <w:t xml:space="preserve">академских </w:t>
            </w:r>
            <w:r w:rsidRPr="000D6295">
              <w:rPr>
                <w:lang w:val="sr-Cyrl-CS"/>
              </w:rPr>
              <w:t xml:space="preserve">студија психологије треба да омогући </w:t>
            </w:r>
            <w:r w:rsidR="007A0D36" w:rsidRPr="000D6295">
              <w:rPr>
                <w:lang w:val="sr-Cyrl-CS"/>
              </w:rPr>
              <w:t>студентима</w:t>
            </w:r>
            <w:r w:rsidRPr="000D6295">
              <w:rPr>
                <w:lang w:val="sr-Cyrl-CS"/>
              </w:rPr>
              <w:t xml:space="preserve"> да стекну највише академско образовање. То подразумева њихову оспособљеност да користе савремену научну методологију истражујући различите проблеме којима се психологија као наука бави. Истовремено, то значи и оспособљеност да се прате светска научна достигнућа из одабраних области истраживања психолошких проблема.</w:t>
            </w:r>
            <w:r w:rsidRPr="000D6295">
              <w:rPr>
                <w:sz w:val="24"/>
                <w:szCs w:val="24"/>
                <w:lang w:val="sr-Cyrl-CS"/>
              </w:rPr>
              <w:t xml:space="preserve"> </w:t>
            </w:r>
            <w:r w:rsidRPr="000D6295">
              <w:t xml:space="preserve">Докторске студије психологије намењене </w:t>
            </w:r>
            <w:r w:rsidR="007A0D36" w:rsidRPr="000D6295">
              <w:t xml:space="preserve">су </w:t>
            </w:r>
            <w:r w:rsidRPr="000D6295">
              <w:t>оспособљавању за научно-истраживачки рад</w:t>
            </w:r>
            <w:r w:rsidR="007A0D36" w:rsidRPr="000D6295">
              <w:t>, као</w:t>
            </w:r>
            <w:r w:rsidRPr="000D6295">
              <w:t xml:space="preserve"> и за наставну делатност на високошколским установама. Специфични циљеви докторских студија су следећи:</w:t>
            </w:r>
          </w:p>
          <w:p w:rsidR="0079626E" w:rsidRPr="000D6295" w:rsidRDefault="0079626E" w:rsidP="0079626E">
            <w:pPr>
              <w:numPr>
                <w:ilvl w:val="0"/>
                <w:numId w:val="6"/>
              </w:numPr>
              <w:jc w:val="both"/>
            </w:pPr>
            <w:r w:rsidRPr="000D6295">
              <w:t>оспособљавање за научно теоријско мишљење</w:t>
            </w:r>
            <w:r w:rsidR="007A0D36" w:rsidRPr="000D6295">
              <w:t xml:space="preserve"> у вези са феноменима који представљају предмет психологије као науке</w:t>
            </w:r>
            <w:r w:rsidRPr="000D6295">
              <w:t>;</w:t>
            </w:r>
          </w:p>
          <w:p w:rsidR="0079626E" w:rsidRPr="000D6295" w:rsidRDefault="0079626E" w:rsidP="0079626E">
            <w:pPr>
              <w:numPr>
                <w:ilvl w:val="0"/>
                <w:numId w:val="6"/>
              </w:numPr>
              <w:jc w:val="both"/>
            </w:pPr>
            <w:r w:rsidRPr="000D6295">
              <w:t>оспособљавање за продубљено, свестрано и критичко разумевање постојећих психолошких знања, теорија и метода;</w:t>
            </w:r>
          </w:p>
          <w:p w:rsidR="0079626E" w:rsidRPr="000D6295" w:rsidRDefault="0079626E" w:rsidP="0079626E">
            <w:pPr>
              <w:numPr>
                <w:ilvl w:val="0"/>
                <w:numId w:val="6"/>
              </w:numPr>
              <w:jc w:val="both"/>
            </w:pPr>
            <w:r w:rsidRPr="000D6295">
              <w:t xml:space="preserve">оспособљавање за самостално решавање теоријских и практичних проблема психолошке науке и разних подручја примењене психологије у циљу унапређења </w:t>
            </w:r>
            <w:r w:rsidR="007A0D36" w:rsidRPr="000D6295">
              <w:t xml:space="preserve">психологије као науке, али и у циљу </w:t>
            </w:r>
            <w:r w:rsidRPr="000D6295">
              <w:t>друштвеног развоја.</w:t>
            </w:r>
          </w:p>
          <w:p w:rsidR="0079626E" w:rsidRPr="000D6295" w:rsidRDefault="0079626E" w:rsidP="00A563FD">
            <w:pPr>
              <w:spacing w:after="60"/>
              <w:ind w:firstLine="459"/>
              <w:jc w:val="both"/>
              <w:rPr>
                <w:lang w:val="sr-Cyrl-CS"/>
              </w:rPr>
            </w:pPr>
            <w:r w:rsidRPr="000D6295">
              <w:rPr>
                <w:lang w:val="sr-Cyrl-CS"/>
              </w:rPr>
              <w:t xml:space="preserve">Кандидати који стекну докторат </w:t>
            </w:r>
            <w:r w:rsidR="007A0D36" w:rsidRPr="000D6295">
              <w:rPr>
                <w:lang w:val="sr-Cyrl-CS"/>
              </w:rPr>
              <w:t>у</w:t>
            </w:r>
            <w:r w:rsidRPr="000D6295">
              <w:rPr>
                <w:lang w:val="sr-Cyrl-CS"/>
              </w:rPr>
              <w:t xml:space="preserve"> области психоло</w:t>
            </w:r>
            <w:r w:rsidR="007A0D36" w:rsidRPr="000D6295">
              <w:rPr>
                <w:lang w:val="sr-Cyrl-CS"/>
              </w:rPr>
              <w:t>шких наука</w:t>
            </w:r>
            <w:r w:rsidRPr="000D6295">
              <w:rPr>
                <w:lang w:val="sr-Cyrl-CS"/>
              </w:rPr>
              <w:t xml:space="preserve"> оспособљени су да се баве научно-истраживачким радом</w:t>
            </w:r>
            <w:r w:rsidR="007A0D36" w:rsidRPr="000D6295">
              <w:rPr>
                <w:lang w:val="sr-Cyrl-CS"/>
              </w:rPr>
              <w:t xml:space="preserve"> и да  </w:t>
            </w:r>
            <w:r w:rsidRPr="000D6295">
              <w:rPr>
                <w:lang w:val="sr-Cyrl-CS"/>
              </w:rPr>
              <w:t xml:space="preserve">публикују резултате својих теоријских и емпиријских истраживања, објављују студије и монографије, учествују у раду националних и међународних научних конференција и конгреса </w:t>
            </w:r>
            <w:r w:rsidR="007A0D36" w:rsidRPr="000D6295">
              <w:rPr>
                <w:lang w:val="sr-Cyrl-CS"/>
              </w:rPr>
              <w:t xml:space="preserve">у области </w:t>
            </w:r>
            <w:r w:rsidRPr="000D6295">
              <w:rPr>
                <w:lang w:val="sr-Cyrl-CS"/>
              </w:rPr>
              <w:t xml:space="preserve">психологије, </w:t>
            </w:r>
            <w:r w:rsidR="007A0D36" w:rsidRPr="000D6295">
              <w:rPr>
                <w:lang w:val="sr-Cyrl-CS"/>
              </w:rPr>
              <w:t xml:space="preserve">да се </w:t>
            </w:r>
            <w:r w:rsidRPr="000D6295">
              <w:rPr>
                <w:lang w:val="sr-Cyrl-CS"/>
              </w:rPr>
              <w:t>повезују</w:t>
            </w:r>
            <w:r w:rsidR="007A0D36" w:rsidRPr="000D6295">
              <w:rPr>
                <w:lang w:val="sr-Cyrl-CS"/>
              </w:rPr>
              <w:t xml:space="preserve"> са научницима из</w:t>
            </w:r>
            <w:r w:rsidR="00F06ADF" w:rsidRPr="000D6295">
              <w:rPr>
                <w:lang w:val="sr-Cyrl-CS"/>
              </w:rPr>
              <w:t xml:space="preserve"> Србије и из</w:t>
            </w:r>
            <w:r w:rsidR="007A0D36" w:rsidRPr="000D6295">
              <w:rPr>
                <w:lang w:val="sr-Cyrl-CS"/>
              </w:rPr>
              <w:t xml:space="preserve"> других земаља</w:t>
            </w:r>
            <w:r w:rsidR="00F06ADF" w:rsidRPr="000D6295">
              <w:rPr>
                <w:lang w:val="sr-Cyrl-CS"/>
              </w:rPr>
              <w:t>, са њима реализују заједничке пројекте</w:t>
            </w:r>
            <w:r w:rsidR="007A0D36" w:rsidRPr="000D6295">
              <w:rPr>
                <w:lang w:val="sr-Cyrl-CS"/>
              </w:rPr>
              <w:t xml:space="preserve"> и</w:t>
            </w:r>
            <w:r w:rsidRPr="000D6295">
              <w:rPr>
                <w:lang w:val="sr-Cyrl-CS"/>
              </w:rPr>
              <w:t xml:space="preserve"> размењују са њима своја истраживачка искуства и достигнућа. Другим речима, доктори </w:t>
            </w:r>
            <w:r w:rsidR="007A0D36" w:rsidRPr="000D6295">
              <w:rPr>
                <w:lang w:val="sr-Cyrl-CS"/>
              </w:rPr>
              <w:t xml:space="preserve">психолошких </w:t>
            </w:r>
            <w:r w:rsidRPr="000D6295">
              <w:rPr>
                <w:lang w:val="sr-Cyrl-CS"/>
              </w:rPr>
              <w:t>наука треба да буду оспособљени да континуирано долазе до нових сазнања, организују научно истраживачки рад, антиципирају перспективе истраживања у психологи</w:t>
            </w:r>
            <w:r w:rsidR="007A0D36" w:rsidRPr="000D6295">
              <w:rPr>
                <w:lang w:val="sr-Cyrl-CS"/>
              </w:rPr>
              <w:t>ји и проширују подручја примене, те да на тај начин доприносе унапређењу друштвене стварности и квалитету живота људи као појединаца.</w:t>
            </w:r>
            <w:r w:rsidR="00F06ADF" w:rsidRPr="000D6295">
              <w:rPr>
                <w:lang w:val="sr-Cyrl-CS"/>
              </w:rPr>
              <w:t xml:space="preserve"> Притом, очекује се да ће кандидати који стекну докторат у области психолошких наука у свом раду примењивати и промовисати вредности и принципе академског интегритета и професионалне етике, као и културу високих академских стандарда.</w:t>
            </w:r>
          </w:p>
          <w:p w:rsidR="007A0D36" w:rsidRPr="0079626E" w:rsidRDefault="007A0D36" w:rsidP="007A0D36">
            <w:pPr>
              <w:spacing w:after="60"/>
              <w:jc w:val="both"/>
              <w:rPr>
                <w:sz w:val="22"/>
                <w:szCs w:val="22"/>
              </w:rPr>
            </w:pPr>
          </w:p>
        </w:tc>
      </w:tr>
      <w:tr w:rsidR="00B737D6" w:rsidRPr="00D36988" w:rsidTr="00F93266">
        <w:tc>
          <w:tcPr>
            <w:tcW w:w="0" w:type="auto"/>
            <w:shd w:val="clear" w:color="auto" w:fill="auto"/>
          </w:tcPr>
          <w:p w:rsidR="00B737D6" w:rsidRDefault="00B737D6" w:rsidP="008239F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</w:rPr>
              <w:t>Прилози за стандард 2</w:t>
            </w:r>
            <w:r w:rsidRPr="00D36988"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  <w:p w:rsidR="00B737D6" w:rsidRDefault="00B737D6" w:rsidP="008239F5">
            <w:pPr>
              <w:shd w:val="clear" w:color="auto" w:fill="FFFFFF"/>
              <w:jc w:val="both"/>
              <w:rPr>
                <w:sz w:val="22"/>
                <w:szCs w:val="22"/>
                <w:lang w:val="sr-Cyrl-CS"/>
              </w:rPr>
            </w:pPr>
            <w:r w:rsidRPr="0025370E">
              <w:rPr>
                <w:b/>
                <w:sz w:val="22"/>
                <w:szCs w:val="22"/>
                <w:lang w:val="sr-Cyrl-CS"/>
              </w:rPr>
              <w:t>Прилог 1.1</w:t>
            </w:r>
            <w:r>
              <w:rPr>
                <w:b/>
                <w:sz w:val="22"/>
                <w:szCs w:val="22"/>
                <w:lang w:val="sr-Cyrl-CS"/>
              </w:rPr>
              <w:t xml:space="preserve">. </w:t>
            </w:r>
            <w:r w:rsidRPr="0025370E">
              <w:rPr>
                <w:sz w:val="22"/>
                <w:szCs w:val="22"/>
                <w:lang w:val="sr-Cyrl-CS"/>
              </w:rPr>
              <w:t xml:space="preserve">Публикација установе </w:t>
            </w:r>
          </w:p>
          <w:p w:rsidR="001178E1" w:rsidRPr="00F51983" w:rsidRDefault="001178E1" w:rsidP="001178E1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Веб-сајт: </w:t>
            </w:r>
            <w:hyperlink r:id="rId7" w:history="1">
              <w:r w:rsidRPr="00F51983">
                <w:rPr>
                  <w:rStyle w:val="Hyperlink"/>
                  <w:sz w:val="24"/>
                  <w:szCs w:val="24"/>
                </w:rPr>
                <w:t>www.filfak.ni.ac.rs</w:t>
              </w:r>
            </w:hyperlink>
          </w:p>
          <w:p w:rsidR="001178E1" w:rsidRPr="00F51983" w:rsidRDefault="001178E1" w:rsidP="001178E1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Веб-сајт на енглеском језику: </w:t>
            </w:r>
            <w:hyperlink r:id="rId8" w:history="1">
              <w:r w:rsidRPr="00F51983">
                <w:rPr>
                  <w:rStyle w:val="Hyperlink"/>
                  <w:sz w:val="24"/>
                  <w:szCs w:val="24"/>
                </w:rPr>
                <w:t>https://intl.filfak.ni.ac.rs/en</w:t>
              </w:r>
            </w:hyperlink>
          </w:p>
          <w:p w:rsidR="001178E1" w:rsidRPr="00F51983" w:rsidRDefault="001178E1" w:rsidP="001178E1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Блог: </w:t>
            </w:r>
            <w:hyperlink r:id="rId9" w:history="1">
              <w:r w:rsidRPr="00F51983">
                <w:rPr>
                  <w:rStyle w:val="Hyperlink"/>
                  <w:sz w:val="24"/>
                  <w:szCs w:val="24"/>
                </w:rPr>
                <w:t>https://blog.filfak.ni.ac.rs/</w:t>
              </w:r>
            </w:hyperlink>
          </w:p>
          <w:p w:rsidR="001178E1" w:rsidRPr="00F51983" w:rsidRDefault="001178E1" w:rsidP="001178E1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Портал за упис: </w:t>
            </w:r>
            <w:hyperlink r:id="rId10" w:history="1">
              <w:r w:rsidRPr="00F51983">
                <w:rPr>
                  <w:rStyle w:val="Hyperlink"/>
                  <w:sz w:val="24"/>
                  <w:szCs w:val="24"/>
                </w:rPr>
                <w:t>https://upis.filfak.ni.ac.rs/</w:t>
              </w:r>
            </w:hyperlink>
          </w:p>
          <w:p w:rsidR="001178E1" w:rsidRPr="00F51983" w:rsidRDefault="001178E1" w:rsidP="001178E1">
            <w:pPr>
              <w:rPr>
                <w:sz w:val="24"/>
                <w:szCs w:val="24"/>
              </w:rPr>
            </w:pPr>
            <w:r w:rsidRPr="00F51983">
              <w:rPr>
                <w:sz w:val="24"/>
                <w:szCs w:val="24"/>
              </w:rPr>
              <w:t xml:space="preserve">Портал за студенте: </w:t>
            </w:r>
            <w:hyperlink r:id="rId11" w:history="1">
              <w:r w:rsidRPr="00F51983">
                <w:rPr>
                  <w:rStyle w:val="Hyperlink"/>
                  <w:sz w:val="24"/>
                  <w:szCs w:val="24"/>
                </w:rPr>
                <w:t>http://studenti.filfak.ni.ac.rs/</w:t>
              </w:r>
            </w:hyperlink>
          </w:p>
          <w:p w:rsidR="001178E1" w:rsidRPr="001E5A49" w:rsidRDefault="001178E1" w:rsidP="001178E1">
            <w:pPr>
              <w:shd w:val="clear" w:color="auto" w:fill="FFFFFF"/>
              <w:jc w:val="both"/>
              <w:rPr>
                <w:b/>
                <w:sz w:val="22"/>
                <w:szCs w:val="22"/>
                <w:lang w:val="ru-RU"/>
              </w:rPr>
            </w:pPr>
            <w:r w:rsidRPr="00F51983">
              <w:rPr>
                <w:sz w:val="24"/>
                <w:szCs w:val="24"/>
              </w:rPr>
              <w:t xml:space="preserve">Издања Факултета: </w:t>
            </w:r>
            <w:hyperlink r:id="rId12" w:history="1">
              <w:r w:rsidRPr="00F51983">
                <w:rPr>
                  <w:rStyle w:val="Hyperlink"/>
                  <w:sz w:val="24"/>
                  <w:szCs w:val="24"/>
                </w:rPr>
                <w:t>https://izdanja.filfak.ni.ac.rs/</w:t>
              </w:r>
            </w:hyperlink>
          </w:p>
        </w:tc>
      </w:tr>
    </w:tbl>
    <w:p w:rsidR="000413FF" w:rsidRPr="003B00A0" w:rsidRDefault="000413FF" w:rsidP="003B00A0"/>
    <w:sectPr w:rsidR="000413FF" w:rsidRPr="003B00A0" w:rsidSect="00C355BC">
      <w:headerReference w:type="default" r:id="rId13"/>
      <w:footerReference w:type="default" r:id="rId14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024" w:rsidRDefault="00B30024">
      <w:r>
        <w:separator/>
      </w:r>
    </w:p>
  </w:endnote>
  <w:endnote w:type="continuationSeparator" w:id="0">
    <w:p w:rsidR="00B30024" w:rsidRDefault="00B30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024" w:rsidRDefault="00B30024">
      <w:r>
        <w:separator/>
      </w:r>
    </w:p>
  </w:footnote>
  <w:footnote w:type="continuationSeparator" w:id="0">
    <w:p w:rsidR="00B30024" w:rsidRDefault="00B30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B17" w:rsidRDefault="00082B17" w:rsidP="00376CE1">
    <w:pPr>
      <w:pStyle w:val="Header"/>
    </w:pPr>
    <w:r>
      <w:t xml:space="preserve">         </w:t>
    </w:r>
  </w:p>
  <w:tbl>
    <w:tblPr>
      <w:tblW w:w="10982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66"/>
      <w:gridCol w:w="7620"/>
      <w:gridCol w:w="1696"/>
    </w:tblGrid>
    <w:tr w:rsidR="00082B17" w:rsidTr="00C355BC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082B17" w:rsidRPr="00A17D22" w:rsidRDefault="00DC0BBB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01700" cy="90170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7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92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082B17" w:rsidRDefault="00DC0BBB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20750" cy="920750"/>
                <wp:effectExtent l="19050" t="0" r="0" b="0"/>
                <wp:docPr id="2" name="Picture 2" descr="Redizajnirani logotip 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dizajnirani logotip 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920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:rsidTr="00C355BC">
      <w:trPr>
        <w:trHeight w:val="467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E6E6E6"/>
          <w:vAlign w:val="center"/>
        </w:tcPr>
        <w:p w:rsidR="00082B17" w:rsidRPr="00C355BC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en-U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:rsidTr="00C355BC">
      <w:trPr>
        <w:trHeight w:val="449"/>
        <w:jc w:val="center"/>
      </w:trPr>
      <w:tc>
        <w:tcPr>
          <w:tcW w:w="1634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7692" w:type="dxa"/>
          <w:shd w:val="clear" w:color="auto" w:fill="FFFFFF"/>
          <w:vAlign w:val="center"/>
        </w:tcPr>
        <w:p w:rsidR="004C7606" w:rsidRPr="00355C90" w:rsidRDefault="00355C90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психологије</w:t>
          </w:r>
        </w:p>
      </w:tc>
      <w:tc>
        <w:tcPr>
          <w:tcW w:w="1656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3056B"/>
    <w:multiLevelType w:val="hybridMultilevel"/>
    <w:tmpl w:val="5A2234B6"/>
    <w:lvl w:ilvl="0" w:tplc="48E02672">
      <w:start w:val="1"/>
      <w:numFmt w:val="decimal"/>
      <w:lvlText w:val="%1."/>
      <w:lvlJc w:val="left"/>
      <w:pPr>
        <w:ind w:left="4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D6295"/>
    <w:rsid w:val="000E1822"/>
    <w:rsid w:val="001178E1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160AD"/>
    <w:rsid w:val="00320DCA"/>
    <w:rsid w:val="00337217"/>
    <w:rsid w:val="0035136B"/>
    <w:rsid w:val="0035146D"/>
    <w:rsid w:val="00355C90"/>
    <w:rsid w:val="003616DE"/>
    <w:rsid w:val="00365189"/>
    <w:rsid w:val="003726D6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113A6"/>
    <w:rsid w:val="005325D4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C11E6"/>
    <w:rsid w:val="006C7012"/>
    <w:rsid w:val="006E34D1"/>
    <w:rsid w:val="006F48FF"/>
    <w:rsid w:val="00702729"/>
    <w:rsid w:val="007324ED"/>
    <w:rsid w:val="0079626E"/>
    <w:rsid w:val="007A0D36"/>
    <w:rsid w:val="007A5293"/>
    <w:rsid w:val="007B114F"/>
    <w:rsid w:val="007B6E26"/>
    <w:rsid w:val="007C3C92"/>
    <w:rsid w:val="007E5100"/>
    <w:rsid w:val="007F1217"/>
    <w:rsid w:val="008232AD"/>
    <w:rsid w:val="008239F5"/>
    <w:rsid w:val="00854690"/>
    <w:rsid w:val="00857CC3"/>
    <w:rsid w:val="00863698"/>
    <w:rsid w:val="0087309A"/>
    <w:rsid w:val="008B3CC2"/>
    <w:rsid w:val="008D474B"/>
    <w:rsid w:val="008D4C1B"/>
    <w:rsid w:val="00923132"/>
    <w:rsid w:val="00960752"/>
    <w:rsid w:val="009A7351"/>
    <w:rsid w:val="009E3014"/>
    <w:rsid w:val="00A15ABD"/>
    <w:rsid w:val="00A17D22"/>
    <w:rsid w:val="00A23225"/>
    <w:rsid w:val="00A30EEE"/>
    <w:rsid w:val="00A32EB9"/>
    <w:rsid w:val="00A563FD"/>
    <w:rsid w:val="00A5721B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0024"/>
    <w:rsid w:val="00B376DC"/>
    <w:rsid w:val="00B737D6"/>
    <w:rsid w:val="00BC352B"/>
    <w:rsid w:val="00BC7963"/>
    <w:rsid w:val="00BF1068"/>
    <w:rsid w:val="00C06D74"/>
    <w:rsid w:val="00C129E1"/>
    <w:rsid w:val="00C17332"/>
    <w:rsid w:val="00C30837"/>
    <w:rsid w:val="00C355BC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C0BBB"/>
    <w:rsid w:val="00DD08ED"/>
    <w:rsid w:val="00DE08F5"/>
    <w:rsid w:val="00DE7AA7"/>
    <w:rsid w:val="00DF7857"/>
    <w:rsid w:val="00E12D8C"/>
    <w:rsid w:val="00E15B35"/>
    <w:rsid w:val="00E24AEA"/>
    <w:rsid w:val="00E87AAD"/>
    <w:rsid w:val="00EB3393"/>
    <w:rsid w:val="00EB6085"/>
    <w:rsid w:val="00F05022"/>
    <w:rsid w:val="00F06ADF"/>
    <w:rsid w:val="00F177C3"/>
    <w:rsid w:val="00F21D03"/>
    <w:rsid w:val="00F22BE1"/>
    <w:rsid w:val="00F24F89"/>
    <w:rsid w:val="00F25667"/>
    <w:rsid w:val="00F36C17"/>
    <w:rsid w:val="00F4203A"/>
    <w:rsid w:val="00F6121B"/>
    <w:rsid w:val="00F63E79"/>
    <w:rsid w:val="00F93266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l.filfak.ni.ac.rs/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ilfak.ni.ac.rs" TargetMode="External"/><Relationship Id="rId12" Type="http://schemas.openxmlformats.org/officeDocument/2006/relationships/hyperlink" Target="https://izdanja.filfak.ni.ac.r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udenti.filfak.ni.ac.r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pis.filfak.ni.ac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325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Links>
    <vt:vector size="36" baseType="variant">
      <vt:variant>
        <vt:i4>5505106</vt:i4>
      </vt:variant>
      <vt:variant>
        <vt:i4>15</vt:i4>
      </vt:variant>
      <vt:variant>
        <vt:i4>0</vt:i4>
      </vt:variant>
      <vt:variant>
        <vt:i4>5</vt:i4>
      </vt:variant>
      <vt:variant>
        <vt:lpwstr>https://izdanja.filfak.ni.ac.rs/</vt:lpwstr>
      </vt:variant>
      <vt:variant>
        <vt:lpwstr/>
      </vt:variant>
      <vt:variant>
        <vt:i4>524302</vt:i4>
      </vt:variant>
      <vt:variant>
        <vt:i4>12</vt:i4>
      </vt:variant>
      <vt:variant>
        <vt:i4>0</vt:i4>
      </vt:variant>
      <vt:variant>
        <vt:i4>5</vt:i4>
      </vt:variant>
      <vt:variant>
        <vt:lpwstr>http://studenti.filfak.ni.ac.rs/</vt:lpwstr>
      </vt:variant>
      <vt:variant>
        <vt:lpwstr/>
      </vt:variant>
      <vt:variant>
        <vt:i4>131143</vt:i4>
      </vt:variant>
      <vt:variant>
        <vt:i4>9</vt:i4>
      </vt:variant>
      <vt:variant>
        <vt:i4>0</vt:i4>
      </vt:variant>
      <vt:variant>
        <vt:i4>5</vt:i4>
      </vt:variant>
      <vt:variant>
        <vt:lpwstr>https://upis.filfak.ni.ac.rs/</vt:lpwstr>
      </vt:variant>
      <vt:variant>
        <vt:lpwstr/>
      </vt:variant>
      <vt:variant>
        <vt:i4>655446</vt:i4>
      </vt:variant>
      <vt:variant>
        <vt:i4>6</vt:i4>
      </vt:variant>
      <vt:variant>
        <vt:i4>0</vt:i4>
      </vt:variant>
      <vt:variant>
        <vt:i4>5</vt:i4>
      </vt:variant>
      <vt:variant>
        <vt:lpwstr>https://blog.filfak.ni.ac.rs/</vt:lpwstr>
      </vt:variant>
      <vt:variant>
        <vt:lpwstr/>
      </vt:variant>
      <vt:variant>
        <vt:i4>6684777</vt:i4>
      </vt:variant>
      <vt:variant>
        <vt:i4>3</vt:i4>
      </vt:variant>
      <vt:variant>
        <vt:i4>0</vt:i4>
      </vt:variant>
      <vt:variant>
        <vt:i4>5</vt:i4>
      </vt:variant>
      <vt:variant>
        <vt:lpwstr>https://intl.filfak.ni.ac.rs/en</vt:lpwstr>
      </vt:variant>
      <vt:variant>
        <vt:lpwstr/>
      </vt:variant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2008-06-10T11:57:00Z</cp:lastPrinted>
  <dcterms:created xsi:type="dcterms:W3CDTF">2023-05-16T10:18:00Z</dcterms:created>
  <dcterms:modified xsi:type="dcterms:W3CDTF">2023-05-23T15:12:00Z</dcterms:modified>
</cp:coreProperties>
</file>